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32B7" w14:textId="77777777" w:rsidR="0085472C" w:rsidRDefault="0085472C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14:paraId="62DD9A34" w14:textId="77777777" w:rsidR="0085472C" w:rsidRDefault="0085472C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14:paraId="6A71A351" w14:textId="77777777" w:rsidR="0085472C" w:rsidRPr="008C0E59" w:rsidRDefault="0090662A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  <w:r w:rsidRPr="008C0E59">
        <w:rPr>
          <w:b/>
          <w:bCs/>
          <w:noProof/>
          <w:color w:val="auto"/>
          <w:sz w:val="32"/>
          <w:szCs w:val="32"/>
          <w:lang w:val="en-AU"/>
        </w:rPr>
        <w:t>Springside West Secondary College (8784)</w:t>
      </w:r>
    </w:p>
    <w:p w14:paraId="24933FE1" w14:textId="77777777" w:rsidR="0085472C" w:rsidRDefault="0090662A" w:rsidP="00A43FFE">
      <w:pPr>
        <w:ind w:right="-44"/>
        <w:jc w:val="center"/>
        <w:rPr>
          <w:b/>
          <w:sz w:val="32"/>
          <w:szCs w:val="32"/>
          <w:lang w:val="en-AU"/>
        </w:rPr>
      </w:pPr>
      <w:r w:rsidRPr="008C0E59">
        <w:rPr>
          <w:b/>
          <w:noProof/>
          <w:sz w:val="32"/>
          <w:szCs w:val="32"/>
          <w:lang w:val="en-AU"/>
        </w:rPr>
        <w:t>2026</w:t>
      </w:r>
      <w:r w:rsidRPr="008C0E59">
        <w:rPr>
          <w:b/>
          <w:sz w:val="32"/>
          <w:szCs w:val="32"/>
          <w:lang w:val="en-AU"/>
        </w:rPr>
        <w:t xml:space="preserve"> A</w:t>
      </w:r>
      <w:r>
        <w:rPr>
          <w:b/>
          <w:sz w:val="32"/>
          <w:szCs w:val="32"/>
          <w:lang w:val="en-AU"/>
        </w:rPr>
        <w:t>NNUAL</w:t>
      </w:r>
      <w:r w:rsidRPr="008C0E59">
        <w:rPr>
          <w:b/>
          <w:sz w:val="32"/>
          <w:szCs w:val="32"/>
          <w:lang w:val="en-AU"/>
        </w:rPr>
        <w:t xml:space="preserve"> </w:t>
      </w:r>
      <w:r>
        <w:rPr>
          <w:b/>
          <w:sz w:val="32"/>
          <w:szCs w:val="32"/>
          <w:lang w:val="en-AU"/>
        </w:rPr>
        <w:t>IMPLEMENTATION</w:t>
      </w:r>
      <w:r w:rsidRPr="008C0E59">
        <w:rPr>
          <w:b/>
          <w:sz w:val="32"/>
          <w:szCs w:val="32"/>
          <w:lang w:val="en-AU"/>
        </w:rPr>
        <w:t xml:space="preserve"> P</w:t>
      </w:r>
      <w:r>
        <w:rPr>
          <w:b/>
          <w:sz w:val="32"/>
          <w:szCs w:val="32"/>
          <w:lang w:val="en-AU"/>
        </w:rPr>
        <w:t>LAN</w:t>
      </w:r>
      <w:r w:rsidRPr="008C0E59">
        <w:rPr>
          <w:b/>
          <w:sz w:val="32"/>
          <w:szCs w:val="32"/>
          <w:lang w:val="en-AU"/>
        </w:rPr>
        <w:t xml:space="preserve"> </w:t>
      </w:r>
    </w:p>
    <w:p w14:paraId="40067254" w14:textId="77777777" w:rsidR="0085472C" w:rsidRDefault="0085472C" w:rsidP="00A43FFE">
      <w:pPr>
        <w:ind w:right="-44"/>
        <w:rPr>
          <w:sz w:val="20"/>
          <w:szCs w:val="20"/>
        </w:rPr>
      </w:pPr>
    </w:p>
    <w:p w14:paraId="525CE751" w14:textId="77777777" w:rsidR="0085472C" w:rsidRDefault="0085472C" w:rsidP="00A43FFE">
      <w:pPr>
        <w:ind w:right="-44"/>
        <w:rPr>
          <w:sz w:val="20"/>
          <w:szCs w:val="20"/>
        </w:rPr>
        <w:sectPr w:rsidR="0085472C" w:rsidSect="00196E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23811" w:h="16838" w:orient="landscape"/>
          <w:pgMar w:top="720" w:right="847" w:bottom="720" w:left="720" w:header="624" w:footer="533" w:gutter="0"/>
          <w:pgNumType w:start="2"/>
          <w:cols w:space="397"/>
          <w:docGrid w:linePitch="360"/>
        </w:sectPr>
      </w:pPr>
    </w:p>
    <w:p w14:paraId="5122F05B" w14:textId="77777777" w:rsidR="0085472C" w:rsidRDefault="0085472C" w:rsidP="00A43FFE">
      <w:pPr>
        <w:ind w:right="-44"/>
        <w:jc w:val="center"/>
        <w:rPr>
          <w:sz w:val="20"/>
          <w:szCs w:val="20"/>
        </w:rPr>
      </w:pPr>
    </w:p>
    <w:p w14:paraId="446BBC68" w14:textId="77777777" w:rsidR="0085472C" w:rsidRPr="00F0581D" w:rsidRDefault="0090662A" w:rsidP="00A43FFE">
      <w:pPr>
        <w:ind w:right="-44"/>
        <w:jc w:val="center"/>
        <w:rPr>
          <w:b/>
          <w:bCs/>
          <w:sz w:val="20"/>
          <w:szCs w:val="20"/>
        </w:rPr>
      </w:pPr>
      <w:r w:rsidRPr="00F0581D">
        <w:rPr>
          <w:b/>
          <w:bCs/>
          <w:sz w:val="20"/>
          <w:szCs w:val="20"/>
        </w:rPr>
        <w:t>SCHOOL STRATEGIC PLAN G</w:t>
      </w:r>
      <w:r w:rsidRPr="00F0581D">
        <w:rPr>
          <w:b/>
          <w:bCs/>
          <w:caps/>
          <w:sz w:val="20"/>
          <w:szCs w:val="20"/>
        </w:rPr>
        <w:t>OAL</w:t>
      </w:r>
      <w:r w:rsidRPr="00F0581D">
        <w:rPr>
          <w:b/>
          <w:bCs/>
          <w:sz w:val="20"/>
          <w:szCs w:val="20"/>
        </w:rPr>
        <w:t>S</w:t>
      </w:r>
    </w:p>
    <w:tbl>
      <w:tblPr>
        <w:tblStyle w:val="TableGrid"/>
        <w:tblW w:w="22320" w:type="dxa"/>
        <w:tblLook w:val="04A0" w:firstRow="1" w:lastRow="0" w:firstColumn="1" w:lastColumn="0" w:noHBand="0" w:noVBand="1"/>
      </w:tblPr>
      <w:tblGrid>
        <w:gridCol w:w="5420"/>
        <w:gridCol w:w="5412"/>
        <w:gridCol w:w="5436"/>
        <w:gridCol w:w="6052"/>
      </w:tblGrid>
      <w:tr w:rsidR="00D973D5" w14:paraId="4A9B25DA" w14:textId="77777777" w:rsidTr="00A43FFE">
        <w:tc>
          <w:tcPr>
            <w:tcW w:w="-20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7427CA74" w14:textId="77777777" w:rsidR="0085472C" w:rsidRPr="00A43FFE" w:rsidRDefault="0090662A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 xml:space="preserve">Goal 1: To </w:t>
            </w:r>
            <w:proofErr w:type="spellStart"/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>maximise</w:t>
            </w:r>
            <w:proofErr w:type="spellEnd"/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 xml:space="preserve"> learning growth for every student</w:t>
            </w:r>
          </w:p>
        </w:tc>
        <w:tc>
          <w:tcPr>
            <w:tcW w:w="22320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358EBAD4" w14:textId="77777777" w:rsidR="0085472C" w:rsidRPr="00A43FFE" w:rsidRDefault="0090662A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>Goal 2: To improve engagement in learning</w:t>
            </w:r>
          </w:p>
        </w:tc>
        <w:tc>
          <w:tcPr>
            <w:tcW w:w="22320" w:type="dxa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14:paraId="3FA22611" w14:textId="77777777" w:rsidR="0085472C" w:rsidRPr="00A43FFE" w:rsidRDefault="0090662A" w:rsidP="009E360A">
            <w:pPr>
              <w:tabs>
                <w:tab w:val="left" w:pos="8895"/>
              </w:tabs>
              <w:ind w:right="-44"/>
              <w:jc w:val="center"/>
              <w:rPr>
                <w:rFonts w:eastAsia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Fonts w:eastAsia="Arial"/>
                <w:b/>
                <w:color w:val="FFFFFF"/>
                <w:sz w:val="20"/>
                <w:szCs w:val="20"/>
              </w:rPr>
              <w:t>Goal 3: To improve student wellbeing</w:t>
            </w:r>
          </w:p>
        </w:tc>
      </w:tr>
      <w:tr w:rsidR="00D973D5" w14:paraId="78172AAD" w14:textId="77777777" w:rsidTr="009E360A"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80791" w14:textId="77777777" w:rsidR="0085472C" w:rsidRPr="00A43FFE" w:rsidRDefault="0090662A" w:rsidP="009E360A">
            <w:pPr>
              <w:tabs>
                <w:tab w:val="left" w:pos="8895"/>
              </w:tabs>
              <w:ind w:right="-44"/>
              <w:jc w:val="center"/>
              <w:rPr>
                <w:b/>
                <w:color w:val="FFFFFF"/>
                <w:sz w:val="20"/>
                <w:szCs w:val="20"/>
                <w:lang w:val="en-AU"/>
              </w:rPr>
            </w:pPr>
            <w:r>
              <w:rPr>
                <w:rFonts w:eastAsia="Arial"/>
                <w:b/>
                <w:sz w:val="20"/>
              </w:rPr>
              <w:t>KEY IMPROVEMENT STRATEGIES</w:t>
            </w:r>
          </w:p>
        </w:tc>
      </w:tr>
      <w:tr w:rsidR="00D973D5" w14:paraId="1C781337" w14:textId="77777777" w:rsidTr="00A43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22320" w:type="dxa"/>
            <w:shd w:val="clear" w:color="auto" w:fill="FFD162"/>
          </w:tcPr>
          <w:p w14:paraId="2BCD295B" w14:textId="77777777" w:rsidR="0085472C" w:rsidRDefault="0090662A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1.a Leadership</w:t>
            </w:r>
          </w:p>
        </w:tc>
        <w:tc>
          <w:tcPr>
            <w:tcW w:w="22320" w:type="dxa"/>
            <w:shd w:val="clear" w:color="auto" w:fill="58BFBC"/>
          </w:tcPr>
          <w:p w14:paraId="78B8614C" w14:textId="77777777" w:rsidR="0085472C" w:rsidRDefault="0090662A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1.b Teaching and learning</w:t>
            </w:r>
          </w:p>
        </w:tc>
        <w:tc>
          <w:tcPr>
            <w:tcW w:w="22320" w:type="dxa"/>
            <w:shd w:val="clear" w:color="auto" w:fill="F7CDDB"/>
          </w:tcPr>
          <w:p w14:paraId="54798743" w14:textId="77777777" w:rsidR="0085472C" w:rsidRDefault="0090662A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2.a Engagement</w:t>
            </w:r>
          </w:p>
        </w:tc>
        <w:tc>
          <w:tcPr>
            <w:tcW w:w="22320" w:type="dxa"/>
            <w:shd w:val="clear" w:color="auto" w:fill="D1ABD0"/>
          </w:tcPr>
          <w:p w14:paraId="5546E97C" w14:textId="77777777" w:rsidR="0085472C" w:rsidRDefault="0090662A" w:rsidP="005817AC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KIS 3.a Support and resources</w:t>
            </w:r>
          </w:p>
        </w:tc>
      </w:tr>
      <w:tr w:rsidR="00D973D5" w14:paraId="02D2B801" w14:textId="77777777" w:rsidTr="00A43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22320" w:type="dxa"/>
            <w:shd w:val="clear" w:color="auto" w:fill="FFF0C9"/>
          </w:tcPr>
          <w:p w14:paraId="4585DE4D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Enhance and embed policy, practices and structures to support improved student learning growth.</w:t>
            </w:r>
          </w:p>
        </w:tc>
        <w:tc>
          <w:tcPr>
            <w:tcW w:w="22320" w:type="dxa"/>
            <w:shd w:val="clear" w:color="auto" w:fill="CCECEB"/>
          </w:tcPr>
          <w:p w14:paraId="3BAE0817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Build and enhance staff capability and knowledge of curriculum, instruction and assessment.</w:t>
            </w:r>
          </w:p>
        </w:tc>
        <w:tc>
          <w:tcPr>
            <w:tcW w:w="22320" w:type="dxa"/>
            <w:shd w:val="clear" w:color="auto" w:fill="FDF1F5"/>
          </w:tcPr>
          <w:p w14:paraId="1E792536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Strengthen and demonstrate a consistent whole school understanding and approach to learner agency.</w:t>
            </w:r>
          </w:p>
        </w:tc>
        <w:tc>
          <w:tcPr>
            <w:tcW w:w="22320" w:type="dxa"/>
            <w:shd w:val="clear" w:color="auto" w:fill="EDDFED"/>
          </w:tcPr>
          <w:p w14:paraId="28954DB4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proofErr w:type="gramStart"/>
            <w:r w:rsidRPr="00A43FFE">
              <w:rPr>
                <w:rFonts w:eastAsia="Arial"/>
                <w:b/>
                <w:bCs/>
              </w:rPr>
              <w:t>Strengthen</w:t>
            </w:r>
            <w:proofErr w:type="gramEnd"/>
            <w:r w:rsidRPr="00A43FFE">
              <w:rPr>
                <w:rFonts w:eastAsia="Arial"/>
                <w:b/>
                <w:bCs/>
              </w:rPr>
              <w:t xml:space="preserve"> the school’s practices for supporting student inclusion, health and wellbeing.</w:t>
            </w:r>
          </w:p>
        </w:tc>
      </w:tr>
      <w:tr w:rsidR="00D973D5" w14:paraId="762EC751" w14:textId="77777777" w:rsidTr="00A43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22320" w:type="dxa"/>
            <w:shd w:val="clear" w:color="auto" w:fill="F2F2F2"/>
          </w:tcPr>
          <w:p w14:paraId="68E9A805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  <w:tc>
          <w:tcPr>
            <w:tcW w:w="22320" w:type="dxa"/>
            <w:shd w:val="clear" w:color="auto" w:fill="F2F2F2"/>
          </w:tcPr>
          <w:p w14:paraId="66DFC7B8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  <w:tc>
          <w:tcPr>
            <w:tcW w:w="22320" w:type="dxa"/>
            <w:shd w:val="clear" w:color="auto" w:fill="F2F2F2"/>
          </w:tcPr>
          <w:p w14:paraId="31FDD102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  <w:tc>
          <w:tcPr>
            <w:tcW w:w="22320" w:type="dxa"/>
            <w:shd w:val="clear" w:color="auto" w:fill="F2F2F2"/>
          </w:tcPr>
          <w:p w14:paraId="71481A88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  <w:color w:val="FFFFFF" w:themeColor="background1"/>
              </w:rPr>
            </w:pPr>
            <w:r w:rsidRPr="00A43FFE">
              <w:rPr>
                <w:rFonts w:eastAsia="Arial"/>
                <w:b/>
                <w:bCs/>
              </w:rPr>
              <w:t>Actions</w:t>
            </w:r>
          </w:p>
        </w:tc>
      </w:tr>
      <w:tr w:rsidR="00D973D5" w14:paraId="30D8011B" w14:textId="77777777" w:rsidTr="00A43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22320" w:type="dxa"/>
            <w:shd w:val="clear" w:color="auto" w:fill="FFF0C9"/>
          </w:tcPr>
          <w:p w14:paraId="7BA16EA0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Continue to implement the college literacy plan.</w:t>
            </w:r>
          </w:p>
        </w:tc>
        <w:tc>
          <w:tcPr>
            <w:tcW w:w="22320" w:type="dxa"/>
            <w:shd w:val="clear" w:color="auto" w:fill="CCECEB"/>
          </w:tcPr>
          <w:p w14:paraId="7B1DE83B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Continue to implement the college numeracy plan.</w:t>
            </w:r>
          </w:p>
        </w:tc>
        <w:tc>
          <w:tcPr>
            <w:tcW w:w="22320" w:type="dxa"/>
            <w:shd w:val="clear" w:color="auto" w:fill="FDF1F5"/>
          </w:tcPr>
          <w:p w14:paraId="4563263B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Begin a process of investigating, developing and implementing a school wide approach to building learner agency, motivation and confidence.</w:t>
            </w:r>
          </w:p>
        </w:tc>
        <w:tc>
          <w:tcPr>
            <w:tcW w:w="22320" w:type="dxa"/>
            <w:shd w:val="clear" w:color="auto" w:fill="EDDFED"/>
          </w:tcPr>
          <w:p w14:paraId="07BE7696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Continue to build the effective implementation of the school disability and inclusion program in line with the new </w:t>
            </w:r>
            <w:proofErr w:type="spellStart"/>
            <w:r w:rsidRPr="00A43FFE">
              <w:rPr>
                <w:rFonts w:eastAsia="Arial"/>
              </w:rPr>
              <w:t>guidleines</w:t>
            </w:r>
            <w:proofErr w:type="spellEnd"/>
            <w:r w:rsidRPr="00A43FFE">
              <w:rPr>
                <w:rFonts w:eastAsia="Arial"/>
              </w:rPr>
              <w:t>.</w:t>
            </w:r>
          </w:p>
        </w:tc>
      </w:tr>
      <w:tr w:rsidR="00D973D5" w14:paraId="56CD4FAA" w14:textId="77777777" w:rsidTr="00A43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22320" w:type="dxa"/>
            <w:shd w:val="clear" w:color="auto" w:fill="F2F2F2"/>
          </w:tcPr>
          <w:p w14:paraId="69AF2D84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  <w:tc>
          <w:tcPr>
            <w:tcW w:w="22320" w:type="dxa"/>
            <w:shd w:val="clear" w:color="auto" w:fill="F2F2F2"/>
          </w:tcPr>
          <w:p w14:paraId="00721073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  <w:tc>
          <w:tcPr>
            <w:tcW w:w="22320" w:type="dxa"/>
            <w:shd w:val="clear" w:color="auto" w:fill="F2F2F2"/>
          </w:tcPr>
          <w:p w14:paraId="32EDCA0B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  <w:tc>
          <w:tcPr>
            <w:tcW w:w="22320" w:type="dxa"/>
            <w:shd w:val="clear" w:color="auto" w:fill="F2F2F2"/>
          </w:tcPr>
          <w:p w14:paraId="676CDFA9" w14:textId="77777777" w:rsidR="0085472C" w:rsidRPr="00A43FFE" w:rsidRDefault="0090662A" w:rsidP="00A43FFE">
            <w:pPr>
              <w:ind w:right="-44"/>
              <w:jc w:val="center"/>
              <w:rPr>
                <w:rFonts w:eastAsia="Arial"/>
                <w:b/>
                <w:bCs/>
              </w:rPr>
            </w:pPr>
            <w:r w:rsidRPr="00A43FFE">
              <w:rPr>
                <w:rFonts w:eastAsia="Arial"/>
                <w:b/>
                <w:bCs/>
              </w:rPr>
              <w:t>Tasks</w:t>
            </w:r>
          </w:p>
        </w:tc>
      </w:tr>
      <w:tr w:rsidR="00D973D5" w14:paraId="180D4A9D" w14:textId="77777777" w:rsidTr="00A43F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</w:tblPrEx>
        <w:tc>
          <w:tcPr>
            <w:tcW w:w="22320" w:type="dxa"/>
            <w:shd w:val="clear" w:color="auto" w:fill="FFF0C9"/>
          </w:tcPr>
          <w:p w14:paraId="1D761942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  <w:p w14:paraId="2ED9DC70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• Strengthen faculty-led reading practices – Increase involvement of Faculty Leaders in selecting appropriate reading strategies for specific text types; develop “reading posters” that </w:t>
            </w:r>
            <w:proofErr w:type="spellStart"/>
            <w:r w:rsidRPr="00A43FFE">
              <w:rPr>
                <w:rFonts w:eastAsia="Arial"/>
              </w:rPr>
              <w:t>summarise</w:t>
            </w:r>
            <w:proofErr w:type="spellEnd"/>
            <w:r w:rsidRPr="00A43FFE">
              <w:rPr>
                <w:rFonts w:eastAsia="Arial"/>
              </w:rPr>
              <w:t xml:space="preserve"> how structured texts are read across learning areas; consolidate the Text Selection Policy.</w:t>
            </w:r>
          </w:p>
          <w:p w14:paraId="1F2885B1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• Use data and collaboration to drive improvement – Establish a subset of the T&amp;L team to </w:t>
            </w:r>
            <w:proofErr w:type="spellStart"/>
            <w:r w:rsidRPr="00A43FFE">
              <w:rPr>
                <w:rFonts w:eastAsia="Arial"/>
              </w:rPr>
              <w:t>analyse</w:t>
            </w:r>
            <w:proofErr w:type="spellEnd"/>
            <w:r w:rsidRPr="00A43FFE">
              <w:rPr>
                <w:rFonts w:eastAsia="Arial"/>
              </w:rPr>
              <w:t xml:space="preserve"> reading data, conduct observations, set goals for PLTs, and review the Literacy Intervention program.</w:t>
            </w:r>
          </w:p>
          <w:p w14:paraId="56B3AD0D" w14:textId="76EA8CCD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• Embed structured reading into planning and instruction – Replace some PowerPoints with structured texts in the New Information stage of lessons, and ensure PLTs focus on implementing explicit reading comprehension strategies into Unit and Lesson Plans.</w:t>
            </w:r>
          </w:p>
          <w:p w14:paraId="4602AEC7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</w:tc>
        <w:tc>
          <w:tcPr>
            <w:tcW w:w="22320" w:type="dxa"/>
            <w:shd w:val="clear" w:color="auto" w:fill="CCECEB"/>
          </w:tcPr>
          <w:p w14:paraId="6FF7E713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  <w:p w14:paraId="69882771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* Reduce </w:t>
            </w:r>
            <w:proofErr w:type="spellStart"/>
            <w:r w:rsidRPr="00A43FFE">
              <w:rPr>
                <w:rFonts w:eastAsia="Arial"/>
              </w:rPr>
              <w:t>maths</w:t>
            </w:r>
            <w:proofErr w:type="spellEnd"/>
            <w:r w:rsidRPr="00A43FFE">
              <w:rPr>
                <w:rFonts w:eastAsia="Arial"/>
              </w:rPr>
              <w:t xml:space="preserve"> anxiety in Year 7 – Use smaller, targeted mini-tests for number and fractions; explicitly teach growth mindset and positive coping strategies; embed emotional check-ins and warm-calling in lessons and continue these approaches into Years 7–8.</w:t>
            </w:r>
          </w:p>
          <w:p w14:paraId="5E111914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• Strengthen staff practice and leadership – Provide PL for </w:t>
            </w:r>
            <w:proofErr w:type="spellStart"/>
            <w:r w:rsidRPr="00A43FFE">
              <w:rPr>
                <w:rFonts w:eastAsia="Arial"/>
              </w:rPr>
              <w:t>maths</w:t>
            </w:r>
            <w:proofErr w:type="spellEnd"/>
            <w:r w:rsidRPr="00A43FFE">
              <w:rPr>
                <w:rFonts w:eastAsia="Arial"/>
              </w:rPr>
              <w:t xml:space="preserve"> staff and PLT leaders on </w:t>
            </w:r>
            <w:proofErr w:type="spellStart"/>
            <w:r w:rsidRPr="00A43FFE">
              <w:rPr>
                <w:rFonts w:eastAsia="Arial"/>
              </w:rPr>
              <w:t>recognising</w:t>
            </w:r>
            <w:proofErr w:type="spellEnd"/>
            <w:r w:rsidRPr="00A43FFE">
              <w:rPr>
                <w:rFonts w:eastAsia="Arial"/>
              </w:rPr>
              <w:t xml:space="preserve"> and managing </w:t>
            </w:r>
            <w:proofErr w:type="spellStart"/>
            <w:r w:rsidRPr="00A43FFE">
              <w:rPr>
                <w:rFonts w:eastAsia="Arial"/>
              </w:rPr>
              <w:t>maths</w:t>
            </w:r>
            <w:proofErr w:type="spellEnd"/>
            <w:r w:rsidRPr="00A43FFE">
              <w:rPr>
                <w:rFonts w:eastAsia="Arial"/>
              </w:rPr>
              <w:t xml:space="preserve"> anxiety, tracking change in teaching practice, and promoting consistent implementation across teams.</w:t>
            </w:r>
          </w:p>
          <w:p w14:paraId="1468BB7E" w14:textId="275E0C78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• Use data and metacognition to improve outcomes – </w:t>
            </w:r>
            <w:proofErr w:type="spellStart"/>
            <w:r w:rsidRPr="00A43FFE">
              <w:rPr>
                <w:rFonts w:eastAsia="Arial"/>
              </w:rPr>
              <w:t>Analyse</w:t>
            </w:r>
            <w:proofErr w:type="spellEnd"/>
            <w:r w:rsidRPr="00A43FFE">
              <w:rPr>
                <w:rFonts w:eastAsia="Arial"/>
              </w:rPr>
              <w:t xml:space="preserve"> PAT-M and key data ‘nodes’ to identify target students; support staff with strategies such as directed number and CUBES; build students’ metacognition through reflection, think-</w:t>
            </w:r>
            <w:proofErr w:type="spellStart"/>
            <w:r w:rsidRPr="00A43FFE">
              <w:rPr>
                <w:rFonts w:eastAsia="Arial"/>
              </w:rPr>
              <w:t>alouds</w:t>
            </w:r>
            <w:proofErr w:type="spellEnd"/>
            <w:r w:rsidRPr="00A43FFE">
              <w:rPr>
                <w:rFonts w:eastAsia="Arial"/>
              </w:rPr>
              <w:t>, and strategy banks for solving complex problems.</w:t>
            </w:r>
          </w:p>
          <w:p w14:paraId="10ED805B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</w:tc>
        <w:tc>
          <w:tcPr>
            <w:tcW w:w="22320" w:type="dxa"/>
            <w:shd w:val="clear" w:color="auto" w:fill="FDF1F5"/>
          </w:tcPr>
          <w:p w14:paraId="0261E3A7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  <w:p w14:paraId="703FE18F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• Audit and target key cohorts – Review current school practices that impact learning confidence, with a focus on specific groups (e.g. Year 9 females based on ATOSS data), and use a tool to track student motivation over time.</w:t>
            </w:r>
          </w:p>
          <w:p w14:paraId="3A6FE879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• Strengthen student–teacher interactions – Improve feedback practices, provide clear guidelines for engaging students who feel they are “wrong,” and build students’ confidence and willingness to respond through structured discussion protocols.</w:t>
            </w:r>
          </w:p>
          <w:p w14:paraId="234483C8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• Amplify student voice and leadership – Leverage student leadership structures, encourage greater classroom voice (particularly for female students), and involve students in co-designing tasks and learning activities.</w:t>
            </w:r>
          </w:p>
          <w:p w14:paraId="006720D0" w14:textId="72362C0B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• Boost engagement and recognition – Strengthen parent–school partnerships, </w:t>
            </w:r>
            <w:proofErr w:type="spellStart"/>
            <w:r w:rsidRPr="00A43FFE">
              <w:rPr>
                <w:rFonts w:eastAsia="Arial"/>
              </w:rPr>
              <w:t>recognise</w:t>
            </w:r>
            <w:proofErr w:type="spellEnd"/>
            <w:r w:rsidRPr="00A43FFE">
              <w:rPr>
                <w:rFonts w:eastAsia="Arial"/>
              </w:rPr>
              <w:t xml:space="preserve"> students through awards/events, and increase engagement through choice boards and more student-</w:t>
            </w:r>
            <w:proofErr w:type="spellStart"/>
            <w:r w:rsidRPr="00A43FFE">
              <w:rPr>
                <w:rFonts w:eastAsia="Arial"/>
              </w:rPr>
              <w:t>centred</w:t>
            </w:r>
            <w:proofErr w:type="spellEnd"/>
            <w:r w:rsidRPr="00A43FFE">
              <w:rPr>
                <w:rFonts w:eastAsia="Arial"/>
              </w:rPr>
              <w:t xml:space="preserve"> assessment design.</w:t>
            </w:r>
          </w:p>
          <w:p w14:paraId="0F628650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</w:tc>
        <w:tc>
          <w:tcPr>
            <w:tcW w:w="22320" w:type="dxa"/>
            <w:shd w:val="clear" w:color="auto" w:fill="EDDFED"/>
          </w:tcPr>
          <w:p w14:paraId="51C75EC2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  <w:p w14:paraId="51DB7E2D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• Build staff knowledge and capability – Provide PL to all staff on student adjustments across domains/activities, how to discuss adjustments in Profile meetings, and clarify responsibility for developing adjustments (including IEP ownership).</w:t>
            </w:r>
          </w:p>
          <w:p w14:paraId="30B5FFBA" w14:textId="77777777" w:rsidR="005D47BA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>• Strengthen identification and planning processes – Develop a clear list of students requiring substantial or extensive adjustments (informed by specialists/observations</w:t>
            </w:r>
            <w:proofErr w:type="gramStart"/>
            <w:r w:rsidRPr="00A43FFE">
              <w:rPr>
                <w:rFonts w:eastAsia="Arial"/>
              </w:rPr>
              <w:t>), and</w:t>
            </w:r>
            <w:proofErr w:type="gramEnd"/>
            <w:r w:rsidRPr="00A43FFE">
              <w:rPr>
                <w:rFonts w:eastAsia="Arial"/>
              </w:rPr>
              <w:t xml:space="preserve"> hold pre-profile meetings to map adjustments using the Profile Audit tool.</w:t>
            </w:r>
          </w:p>
          <w:p w14:paraId="688B0ECB" w14:textId="6C847629" w:rsidR="0085472C" w:rsidRPr="00A43FFE" w:rsidRDefault="0090662A" w:rsidP="00A43FFE">
            <w:pPr>
              <w:ind w:right="-44"/>
              <w:jc w:val="center"/>
              <w:rPr>
                <w:rFonts w:eastAsia="Arial"/>
              </w:rPr>
            </w:pPr>
            <w:r w:rsidRPr="00A43FFE">
              <w:rPr>
                <w:rFonts w:eastAsia="Arial"/>
              </w:rPr>
              <w:t xml:space="preserve">• Improve access and consistency of adjustments – Create and share exemplar </w:t>
            </w:r>
            <w:proofErr w:type="gramStart"/>
            <w:r w:rsidRPr="00A43FFE">
              <w:rPr>
                <w:rFonts w:eastAsia="Arial"/>
              </w:rPr>
              <w:t>adjustments, and</w:t>
            </w:r>
            <w:proofErr w:type="gramEnd"/>
            <w:r w:rsidRPr="00A43FFE">
              <w:rPr>
                <w:rFonts w:eastAsia="Arial"/>
              </w:rPr>
              <w:t xml:space="preserve"> make IEPs more accessible to all staff with key strategies clearly highlighted for consistent implementation.</w:t>
            </w:r>
          </w:p>
          <w:p w14:paraId="39C3652D" w14:textId="77777777" w:rsidR="0085472C" w:rsidRPr="00A43FFE" w:rsidRDefault="0085472C" w:rsidP="00A43FFE">
            <w:pPr>
              <w:ind w:right="-44"/>
              <w:jc w:val="center"/>
              <w:rPr>
                <w:rFonts w:eastAsia="Arial"/>
              </w:rPr>
            </w:pPr>
          </w:p>
        </w:tc>
      </w:tr>
    </w:tbl>
    <w:p w14:paraId="50F425A7" w14:textId="77777777" w:rsidR="0085472C" w:rsidRPr="007B7434" w:rsidRDefault="0085472C" w:rsidP="00196EFC">
      <w:pPr>
        <w:ind w:right="-44"/>
        <w:jc w:val="center"/>
        <w:rPr>
          <w:b/>
          <w:bCs/>
          <w:color w:val="FFFFFF" w:themeColor="background1"/>
          <w:sz w:val="20"/>
          <w:szCs w:val="20"/>
        </w:rPr>
      </w:pPr>
    </w:p>
    <w:p w14:paraId="41554F7C" w14:textId="77777777" w:rsidR="00D973D5" w:rsidRDefault="00D973D5"/>
    <w:sectPr w:rsidR="00D973D5" w:rsidSect="00196EFC">
      <w:type w:val="continuous"/>
      <w:pgSz w:w="23811" w:h="16838" w:orient="landscape" w:code="8"/>
      <w:pgMar w:top="720" w:right="847" w:bottom="720" w:left="720" w:header="624" w:footer="532" w:gutter="0"/>
      <w:pgNumType w:start="2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FD2D" w14:textId="77777777" w:rsidR="00E60E9E" w:rsidRDefault="00E60E9E">
      <w:pPr>
        <w:spacing w:after="0" w:line="240" w:lineRule="auto"/>
      </w:pPr>
      <w:r>
        <w:separator/>
      </w:r>
    </w:p>
  </w:endnote>
  <w:endnote w:type="continuationSeparator" w:id="0">
    <w:p w14:paraId="5D2BE854" w14:textId="77777777" w:rsidR="00E60E9E" w:rsidRDefault="00E6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F3D3" w14:textId="77777777" w:rsidR="0085472C" w:rsidRDefault="00854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5BEF" w14:textId="77777777" w:rsidR="0085472C" w:rsidRPr="00C02688" w:rsidRDefault="0090662A" w:rsidP="00785856">
    <w:pPr>
      <w:pStyle w:val="Footer"/>
      <w:ind w:right="-11"/>
      <w:jc w:val="both"/>
    </w:pPr>
    <w:r>
      <w:rPr>
        <w:noProof/>
      </w:rPr>
      <w:drawing>
        <wp:inline distT="0" distB="0" distL="0" distR="0" wp14:anchorId="782575ED" wp14:editId="502A0586">
          <wp:extent cx="1210058" cy="359665"/>
          <wp:effectExtent l="0" t="0" r="0" b="2540"/>
          <wp:docPr id="11977203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75501" name="Picture 715475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58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</w:rPr>
      <w:drawing>
        <wp:inline distT="0" distB="0" distL="0" distR="0" wp14:anchorId="7722CC67" wp14:editId="0D088CBF">
          <wp:extent cx="569977" cy="432817"/>
          <wp:effectExtent l="0" t="0" r="1905" b="5715"/>
          <wp:docPr id="724548333" name="Picture 6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5577" name="Picture 6" descr="A black background with purpl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7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3859" w14:textId="77777777" w:rsidR="0085472C" w:rsidRDefault="00854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2E60" w14:textId="77777777" w:rsidR="00E60E9E" w:rsidRDefault="00E60E9E">
      <w:pPr>
        <w:spacing w:after="0" w:line="240" w:lineRule="auto"/>
      </w:pPr>
      <w:r>
        <w:separator/>
      </w:r>
    </w:p>
  </w:footnote>
  <w:footnote w:type="continuationSeparator" w:id="0">
    <w:p w14:paraId="3D87DC58" w14:textId="77777777" w:rsidR="00E60E9E" w:rsidRDefault="00E6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939F" w14:textId="77777777" w:rsidR="0085472C" w:rsidRDefault="0090662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F45E97" wp14:editId="5EDDA5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EB487" w14:textId="77777777" w:rsidR="0085472C" w:rsidRDefault="0090662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AA30" w14:textId="77777777" w:rsidR="0085472C" w:rsidRDefault="00854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A2A1" w14:textId="77777777" w:rsidR="0085472C" w:rsidRDefault="0090662A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0C42A5" wp14:editId="1D6583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F958A" w14:textId="77777777" w:rsidR="0085472C" w:rsidRDefault="0090662A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D3D3D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27E"/>
    <w:multiLevelType w:val="hybridMultilevel"/>
    <w:tmpl w:val="97505B86"/>
    <w:lvl w:ilvl="0" w:tplc="B9EAFD0C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 w:tplc="81588938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922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A5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4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1A8E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6C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02C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E1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8309612">
    <w:abstractNumId w:val="10"/>
  </w:num>
  <w:num w:numId="2" w16cid:durableId="1204902064">
    <w:abstractNumId w:val="8"/>
  </w:num>
  <w:num w:numId="3" w16cid:durableId="692730361">
    <w:abstractNumId w:val="7"/>
  </w:num>
  <w:num w:numId="4" w16cid:durableId="1725643452">
    <w:abstractNumId w:val="6"/>
  </w:num>
  <w:num w:numId="5" w16cid:durableId="878660980">
    <w:abstractNumId w:val="5"/>
  </w:num>
  <w:num w:numId="6" w16cid:durableId="938373034">
    <w:abstractNumId w:val="9"/>
  </w:num>
  <w:num w:numId="7" w16cid:durableId="437337712">
    <w:abstractNumId w:val="4"/>
  </w:num>
  <w:num w:numId="8" w16cid:durableId="173737683">
    <w:abstractNumId w:val="3"/>
  </w:num>
  <w:num w:numId="9" w16cid:durableId="2127889531">
    <w:abstractNumId w:val="2"/>
  </w:num>
  <w:num w:numId="10" w16cid:durableId="744642826">
    <w:abstractNumId w:val="1"/>
  </w:num>
  <w:num w:numId="11" w16cid:durableId="1531920369">
    <w:abstractNumId w:val="0"/>
  </w:num>
  <w:num w:numId="12" w16cid:durableId="522062028">
    <w:abstractNumId w:val="11"/>
  </w:num>
  <w:num w:numId="13" w16cid:durableId="375980435">
    <w:abstractNumId w:val="16"/>
  </w:num>
  <w:num w:numId="14" w16cid:durableId="2056195790">
    <w:abstractNumId w:val="14"/>
  </w:num>
  <w:num w:numId="15" w16cid:durableId="111826082">
    <w:abstractNumId w:val="15"/>
  </w:num>
  <w:num w:numId="16" w16cid:durableId="1047874621">
    <w:abstractNumId w:val="12"/>
  </w:num>
  <w:num w:numId="17" w16cid:durableId="540745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ocumentProtection w:enforcement="0"/>
  <w:autoFormatOverride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D5"/>
    <w:rsid w:val="005D47BA"/>
    <w:rsid w:val="006929A6"/>
    <w:rsid w:val="0085472C"/>
    <w:rsid w:val="0090662A"/>
    <w:rsid w:val="009E5F58"/>
    <w:rsid w:val="00D973D5"/>
    <w:rsid w:val="00E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B00B"/>
  <w15:docId w15:val="{97993017-4E1B-49C6-8B88-CB5B6C2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74FDBF-C73F-4BF6-9E25-43DD53EB1A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Gabriella Varsamakis</cp:lastModifiedBy>
  <cp:revision>2</cp:revision>
  <dcterms:created xsi:type="dcterms:W3CDTF">2026-03-16T21:34:00Z</dcterms:created>
  <dcterms:modified xsi:type="dcterms:W3CDTF">2026-03-16T21:34:00Z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